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MAHKEMESİNE</w:t>
      </w:r>
    </w:p>
    <w:p>
      <w:pPr>
        <w:spacing w:after="120"/>
        <w:jc w:val="both"/>
      </w:pPr>
      <w:r>
        <w:rPr>
          <w:b/>
        </w:rPr>
        <w:t xml:space="preserve">DAVACI: </w:t>
      </w:r>
      <w:r>
        <w:t>……… (T.C. Kimlik No: ………) Adres: ………</w:t>
      </w:r>
    </w:p>
    <w:p>
      <w:pPr>
        <w:spacing w:after="120"/>
        <w:jc w:val="both"/>
      </w:pPr>
      <w:r>
        <w:rPr>
          <w:b/>
        </w:rPr>
        <w:t xml:space="preserve">DAVALI: </w:t>
      </w:r>
      <w:r>
        <w:t>……… (T.C. Kimlik No: ………) Adres: ………</w:t>
      </w:r>
    </w:p>
    <w:p>
      <w:pPr>
        <w:spacing w:after="120"/>
        <w:jc w:val="both"/>
      </w:pPr>
      <w:r>
        <w:rPr>
          <w:b/>
        </w:rPr>
        <w:t xml:space="preserve">KONU: </w:t>
      </w:r>
      <w:r>
        <w:t>Terk (TMK m. 164) nedeniyle boşanma, velayet, nafaka ve tazminat taleplerimizdir.</w:t>
      </w:r>
    </w:p>
    <w:p>
      <w:pPr>
        <w:spacing w:before="160"/>
      </w:pPr>
      <w:r>
        <w:rPr>
          <w:b/>
        </w:rPr>
        <w:t>AÇIKLAMALAR:</w:t>
      </w:r>
    </w:p>
    <w:p>
      <w:pPr>
        <w:spacing w:after="100"/>
        <w:jc w:val="both"/>
      </w:pPr>
      <w:r>
        <w:t>1. Taraflar …/…/…… tarihinde evlenmiş olup bu evlilikten …/…/…… doğumlu ……… adlı müşterek çocukları bulunmaktadır (Ek-1 nüfus kayıt örneği).</w:t>
      </w:r>
    </w:p>
    <w:p>
      <w:pPr>
        <w:spacing w:after="100"/>
        <w:jc w:val="both"/>
      </w:pPr>
      <w:r>
        <w:t>2. Davalı, …/…/…… tarihinde haklı bir sebep bulunmaksızın müşterek konutu terk etmiş ve ailesinin yanına yerleşmiştir. Davacının barışma ve eve dönme çağrılarına rağmen davalı ortak hayata dönmeyi reddetmiştir.</w:t>
      </w:r>
    </w:p>
    <w:p>
      <w:pPr>
        <w:spacing w:after="100"/>
        <w:jc w:val="both"/>
      </w:pPr>
      <w:r>
        <w:t>3. Terk üzerinden dört ay geçtikten sonra davacının başvurusu üzerine ……… Aile Mahkemesinin 2026/……… D.İş sayılı ihtar kararıyla davalıya iki ay içinde müşterek konuta dönmesi, dönmediği takdirde doğacak sonuçlar ihtar edilmiş; ihtar davalıya …/…/…… tarihinde usulüne uygun olarak tebliğ edilmiştir (Ek-2). İhtarda müşterek konutun adresi gösterilmiş, davalının yol gideri de karşılanmıştır.</w:t>
      </w:r>
    </w:p>
    <w:p>
      <w:pPr>
        <w:spacing w:after="100"/>
        <w:jc w:val="both"/>
      </w:pPr>
      <w:r>
        <w:t>4. Davalı, ihtarın tebliğinden itibaren iki aylık süre içinde ve bugüne kadar müşterek konuta dönmemiştir. Böylece ortak hayata son verilmesinin üzerinden en az altı ay geçmiş, TMK m. 164'teki terk sebebinin bütün şartları gerçekleşmiştir.</w:t>
      </w:r>
    </w:p>
    <w:p>
      <w:pPr>
        <w:spacing w:after="100"/>
        <w:jc w:val="both"/>
      </w:pPr>
      <w:r>
        <w:t>5. Davalı, terk süresince davacı ve müşterek çocuğun geçimine katkıda bulunmamış, çocukla ilgilenmemiştir. Evlilik birliğinin sona ermesinde davalı tam kusurludur.</w:t>
      </w:r>
    </w:p>
    <w:p>
      <w:pPr>
        <w:spacing w:after="100"/>
        <w:jc w:val="both"/>
      </w:pPr>
      <w:r>
        <w:t>6. Taraflar …/…/…… tarihinden beri fiilen ayrı yaşamakta olup müşterek çocuk bu tarihten itibaren davacının yanında kalmakta, bakım ve eğitimi davacı tarafından karşılanmaktadır. Çocuğun yaşı, alışkanlıkları ve davacıya olan bağlılığı gözetildiğinde velayetin davacıya verilmesi çocuğun üstün yararınadır.</w:t>
      </w:r>
    </w:p>
    <w:p>
      <w:pPr>
        <w:spacing w:after="100"/>
        <w:jc w:val="both"/>
      </w:pPr>
      <w:r>
        <w:t>7. Davacı ……… olarak çalışmakta / herhangi bir işte çalışmamakta olup aylık geliri ……… TL'dir; davalı ise ……… olarak çalışmakta ve aylık yaklaşık ……… TL gelir elde etmektedir. Davacı boşanma ile yoksulluğa düşecek olup dava süresince ve sonrasında nafakaya ihtiyacı vardır.</w:t>
      </w:r>
    </w:p>
    <w:p>
      <w:pPr>
        <w:spacing w:after="100"/>
        <w:jc w:val="both"/>
      </w:pPr>
      <w:r>
        <w:t>8. Davacı, davalının haksız terki nedeniyle evliliğin sağladığı maddî destekten yoksun kalmış ve terk edilmenin verdiği üzüntüyle kişilik hakları zedelenmiştir; TMK m. 174 uyarınca maddî ve manevî tazminat talep zorunluluğu doğmuştur.</w:t>
      </w:r>
    </w:p>
    <w:p>
      <w:pPr>
        <w:spacing w:after="120"/>
        <w:jc w:val="both"/>
      </w:pPr>
      <w:r>
        <w:rPr>
          <w:b/>
        </w:rPr>
        <w:t xml:space="preserve">HUKUKİ NEDENLER: </w:t>
      </w:r>
      <w:r>
        <w:t>4721 sayılı TMK m. 164, 169, 174, 175, 182; 6100 sayılı HMK m. 119 ve ilgili mevzuat.</w:t>
      </w:r>
    </w:p>
    <w:p>
      <w:pPr>
        <w:spacing w:after="120"/>
        <w:jc w:val="both"/>
      </w:pPr>
      <w:r>
        <w:rPr>
          <w:b/>
        </w:rPr>
        <w:t xml:space="preserve">DELİLLER: </w:t>
      </w:r>
      <w:r>
        <w:t>Nüfus kayıt örneği; ihtar kararı ve tebliğ mazbatası; tanık beyanları; mesaj kayıtları; sosyal ve ekonomik durum araştırması ve her türlü yasal delil.</w:t>
      </w:r>
    </w:p>
    <w:p>
      <w:pPr>
        <w:spacing w:before="160"/>
      </w:pPr>
      <w:r>
        <w:rPr>
          <w:b/>
        </w:rPr>
        <w:t>SONUÇ VE İSTEM:</w:t>
      </w:r>
    </w:p>
    <w:p>
      <w:pPr>
        <w:spacing w:after="100"/>
        <w:jc w:val="both"/>
      </w:pPr>
      <w:r>
        <w:t>Yukarıda açıklanan ve Sayın Mahkemece re'sen gözetilecek nedenlerle;</w:t>
      </w:r>
    </w:p>
    <w:p>
      <w:pPr>
        <w:spacing w:after="100"/>
        <w:jc w:val="both"/>
      </w:pPr>
      <w:r>
        <w:t>1) Davanın kabulü ile tarafların TMK m. 164 (terk) uyarınca BOŞANMALARINA,</w:t>
      </w:r>
    </w:p>
    <w:p>
      <w:pPr>
        <w:spacing w:after="100"/>
        <w:jc w:val="both"/>
      </w:pPr>
      <w:r>
        <w:t>2) Müşterek çocuğun velayetinin davacıya verilmesine, davalı ile çocuk arasında çocuğun yaşına uygun biçimde kişisel ilişki kurulmasına,</w:t>
      </w:r>
    </w:p>
    <w:p>
      <w:pPr>
        <w:spacing w:after="100"/>
        <w:jc w:val="both"/>
      </w:pPr>
      <w:r>
        <w:t>3) Müşterek çocuk için dava tarihinden itibaren aylık ……… TL tedbir nafakasına, kararın kesinleşmesiyle birlikte iştirak nafakası olarak devamına ve her yıl ÜFE oranında artırılmasına,</w:t>
      </w:r>
    </w:p>
    <w:p>
      <w:pPr>
        <w:spacing w:after="100"/>
        <w:jc w:val="both"/>
      </w:pPr>
      <w:r>
        <w:t>4) Davacı için dava tarihinden itibaren aylık ……… TL tedbir nafakasına, kararın kesinleşmesiyle birlikte yoksulluk nafakası olarak devamına ve her yıl ÜFE oranında artırılmasına,</w:t>
      </w:r>
    </w:p>
    <w:p>
      <w:pPr>
        <w:spacing w:after="100"/>
        <w:jc w:val="both"/>
      </w:pPr>
      <w:r>
        <w:t>5) Davacı lehine TMK m. 174/1 uyarınca ……… TL maddî ve TMK m. 174/2 uyarınca ……… TL manevî tazminatın karar tarihinden itibaren yasal faiziyle birlikte davalıdan tahsiline,</w:t>
      </w:r>
    </w:p>
    <w:p>
      <w:pPr>
        <w:spacing w:after="100"/>
        <w:jc w:val="both"/>
      </w:pPr>
      <w:r>
        <w:t>6) Dava süresince aile konutunun davacıya tahsisine, TMK m. 169 ve HMK m. 389 uyarınca davalı adına kayıtlı taşınmaz ve araçların devrinin önlenmesi için kayıtlarına tedbir konulmasına,</w:t>
      </w:r>
    </w:p>
    <w:p>
      <w:pPr>
        <w:spacing w:after="100"/>
        <w:jc w:val="both"/>
      </w:pPr>
      <w:r>
        <w:t>7) Yargılama giderleri ve vekâlet ücretinin davalıya yükletilmesine karar verilmesini saygılarımızla arz ve talep ederiz.</w:t>
      </w:r>
    </w:p>
    <w:p>
      <w:pPr>
        <w:spacing w:after="100"/>
        <w:jc w:val="both"/>
      </w:pPr>
      <w:r>
        <w:t>…/…/……</w:t>
      </w:r>
    </w:p>
    <w:p>
      <w:pPr>
        <w:spacing w:after="120"/>
        <w:jc w:val="both"/>
      </w:pPr>
      <w:r>
        <w:rPr>
          <w:b/>
        </w:rPr>
        <w:t xml:space="preserve">EKLER: </w:t>
      </w:r>
      <w:r>
        <w:t>1- Nüfus kayıt örneği; 2- İhtar kararı ve tebliğ mazbatası; 3- Mesaj kayıtları; 4- [Varsa] Vekâletname</w:t>
      </w:r>
    </w:p>
    <w:p/>
    <w:tbl>
      <w:tblPr>
        <w:tblW w:type="auto" w:w="0"/>
        <w:tblLook w:firstColumn="1" w:firstRow="1" w:lastColumn="0" w:lastRow="0" w:noHBand="0" w:noVBand="1" w:val="04A0"/>
      </w:tblPr>
      <w:tblGrid>
        <w:gridCol w:w="9406"/>
      </w:tblGrid>
      <w:tr>
        <w:tc>
          <w:tcPr>
            <w:tcW w:type="dxa" w:w="9406"/>
          </w:tcPr>
          <w:p>
            <w:pPr>
              <w:jc w:val="center"/>
            </w:pPr>
            <w:r>
              <w:rPr>
                <w:b/>
              </w:rPr>
              <w:t>DAVACI</w:t>
              <w:br/>
              <w:t>Adı Soyadı – İmza</w:t>
            </w:r>
          </w:p>
        </w:tc>
      </w:tr>
    </w:tbl>
    <w:p/>
    <w:p>
      <w:r>
        <w:rPr>
          <w:i/>
          <w:sz w:val="17"/>
        </w:rPr>
        <w:t>Bu dilekçe örneği Av. Aydın Aydar (avukataydinaydar.com) tarafından genel bilgilendirme amacıyla hazırlanmıştır. Çekişmeli boşanma dilekçesinin açıklamalar bölümü her dosyada farklıdır; örnekteki olayları kendi yaşadıklarınızla, tarih ve delillerini belirterek değiştirin, dayanmadığınız olayları silin. Dilekçede anlatılmayan olaylar kusur belirlemesinde dikkate alınmaz; bu nedenle dilekçeyi mahkemeye vermeden önce bir boşanma avukatına kontrol ettirmeniz önemle tavsiye edilir.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