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both"/>
      </w:pPr>
      <w:r>
        <w:rPr>
          <w:b/>
        </w:rPr>
        <w:t xml:space="preserve">AÇIKLAMALAR (ziynet bölümü): </w:t>
      </w:r>
      <w:r/>
    </w:p>
    <w:p>
      <w:pPr>
        <w:spacing w:after="100"/>
        <w:jc w:val="both"/>
      </w:pPr>
      <w:r>
        <w:t>……… Düğünümüzde tarafıma takılan ve aşağıda listelenen ziynet eşyaları davalıdadır: ……… (takıların cinsi, ayarı, gramı ve adedi). Bu takılardan ……… adedi davalı tarafından …/…/…… tarihinde elimden alınmış, ……… adedi bozdurularak ……… için kullanılmış, ……… adedi ise evden ayrıldığım …/…/…… tarihinde ortak konutta kalmıştır.</w:t>
      </w:r>
    </w:p>
    <w:p>
      <w:pPr>
        <w:spacing w:after="120"/>
        <w:jc w:val="both"/>
      </w:pPr>
      <w:r>
        <w:rPr>
          <w:b/>
        </w:rPr>
        <w:t xml:space="preserve">SONUÇ VE İSTEM (ziynet bölümü): </w:t>
      </w:r>
      <w:r/>
    </w:p>
    <w:p>
      <w:pPr>
        <w:spacing w:after="100"/>
        <w:jc w:val="both"/>
      </w:pPr>
      <w:r>
        <w:t>……… ; fazlaya ilişkin haklarım saklı kalmak kaydıyla, dilekçede sayılan ziynet eşyalarının davalıdan alınarak tarafıma aynen iadesine, aynen iadenin mümkün olmaması hâlinde fiili ödeme günündeki rayiç bedelinin davalıdan tahsiline, ……… karar verilmesini talep ederim.</w:t>
      </w:r>
    </w:p>
    <w:p/>
    <w:p>
      <w:r>
        <w:rPr>
          <w:i/>
          <w:sz w:val="17"/>
        </w:rPr>
        <w:t>Bu dilekçe örneği Av. Aydın Aydar (avukataydinaydar.com) tarafından genel bilgilendirme amacıyla hazırlanmıştır; her dosya farklıdır. Noktalı alanları doldurun, durumunuza uymayan cümleleri çıkarın ve mahkemeye vermeden önce bir avukata kontrol ettirin. Dava dilekçesine davalı sayısı kadar örnek eklenir (HMK m. 118); kendiniz için de bir örnek saklayın.</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