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ANLAŞMALI BOŞANMA PROTOKOLÜ</w:t>
      </w:r>
    </w:p>
    <w:p>
      <w:pPr>
        <w:jc w:val="center"/>
      </w:pPr>
      <w:r>
        <w:rPr>
          <w:i/>
          <w:sz w:val="20"/>
        </w:rPr>
        <w:t>Çocuklu Anlaşmalı Boşanma Protokolü Örneği (Velayet, Kişisel İlişki, İştirak Nafakası)</w:t>
      </w:r>
    </w:p>
    <w:p>
      <w:pPr>
        <w:spacing w:after="160"/>
      </w:pPr>
      <w:r>
        <w:t>Aşağıda kimlik ve adres bilgileri yazılı taraflar, aralarındaki evlilik birliğinin temelinden sarsıldığını kabul ederek 4721 sayılı Türk Medeni Kanunu'nun 166/3. maddesi uyarınca anlaşmalı olarak boşanmaya karar vermiş; boşanmanın malî sonuçları ile çocukların durumu hakkında aşağıdaki hususlarda tam bir mutabakata varmışlardır.</w:t>
      </w:r>
    </w:p>
    <w:p>
      <w:pPr>
        <w:spacing w:before="160" w:after="40"/>
      </w:pPr>
      <w:r>
        <w:rPr>
          <w:b/>
        </w:rPr>
        <w:t>MADDE 1 – TARAFLAR</w:t>
      </w:r>
    </w:p>
    <w:p>
      <w:pPr>
        <w:spacing w:after="80"/>
        <w:jc w:val="both"/>
      </w:pPr>
      <w:r>
        <w:t>Davacı: Adı Soyadı: ………  T.C. Kimlik No: ………  Adres: ………</w:t>
      </w:r>
    </w:p>
    <w:p>
      <w:pPr>
        <w:spacing w:after="80"/>
        <w:jc w:val="both"/>
      </w:pPr>
      <w:r>
        <w:t>Davalı: Adı Soyadı: ………  T.C. Kimlik No: ………  Adres: ………</w:t>
      </w:r>
    </w:p>
    <w:p>
      <w:pPr>
        <w:spacing w:after="80"/>
        <w:jc w:val="both"/>
      </w:pPr>
      <w:r>
        <w:t>Taraflar …/…/…… tarihinde ……… Evlendirme Memurluğunda evlenmiş olup evlilik birliği bir yılı aşkın süredir devam etmektedir. Evlilik ……… İli ……… İlçesi ……… Mahallesi/Köyü ……… cilt ……… hane numarasında nüfusa kayıtlıdır.</w:t>
      </w:r>
    </w:p>
    <w:p>
      <w:pPr>
        <w:spacing w:before="160" w:after="40"/>
      </w:pPr>
      <w:r>
        <w:rPr>
          <w:b/>
        </w:rPr>
        <w:t>MADDE 2 – BOŞANMA İRADESİ</w:t>
      </w:r>
    </w:p>
    <w:p>
      <w:pPr>
        <w:spacing w:after="80"/>
        <w:jc w:val="both"/>
      </w:pPr>
      <w:r>
        <w:t>Taraflar, evlilik birliğinin temelinden sarsıldığını, ortak hayatın sürdürülmesinin kendilerinden beklenemeyeceğini ve boşanmayı karşılıklı olarak kabul ettiklerini serbest iradeleriyle beyan ederler. Taraflar boşanma konusunda ve aşağıdaki tüm hususlarda anlaşmış olup davanın TMK m. 166/3 uyarınca kabulü ile boşanmalarına karar verilmesini talep ederler.</w:t>
      </w:r>
    </w:p>
    <w:p>
      <w:pPr>
        <w:spacing w:before="160" w:after="40"/>
      </w:pPr>
      <w:r>
        <w:rPr>
          <w:b/>
        </w:rPr>
        <w:t>MADDE 3 – VELAYET</w:t>
      </w:r>
    </w:p>
    <w:p>
      <w:pPr>
        <w:spacing w:after="80"/>
        <w:jc w:val="both"/>
      </w:pPr>
      <w:r>
        <w:t>Tarafların …/…/…… doğumlu ……… T.C. Kimlik numaralı müşterek çocuğu ……… ile …/…/…… doğumlu ……… T.C. Kimlik numaralı müşterek çocuğu ………'nın velayeti anne/baba ………'a verilecektir.</w:t>
      </w:r>
    </w:p>
    <w:p>
      <w:pPr>
        <w:spacing w:after="80"/>
        <w:jc w:val="both"/>
      </w:pPr>
      <w:r>
        <w:t>Velayet kendisine verilmeyen tarafa, çocukların eğitim ve sağlığı konusunda, bulundukları okul ya da sağlık kuruluşu binasında, idarenin belirleyeceği uygun yer ve süre içinde bir görevli yanında bilgi edinme ve ziyaret hakkı tanınmıştır. Çocukların yerleşim yerinin il dışına taşınması hâlinde diğer taraf en az 30 gün önceden yazılı olarak bilgilendirilecektir.</w:t>
      </w:r>
    </w:p>
    <w:p>
      <w:pPr>
        <w:spacing w:before="160" w:after="40"/>
      </w:pPr>
      <w:r>
        <w:rPr>
          <w:b/>
        </w:rPr>
        <w:t>MADDE 4 – KİŞİSEL İLİŞKİ</w:t>
      </w:r>
    </w:p>
    <w:p>
      <w:pPr>
        <w:spacing w:after="80"/>
        <w:jc w:val="both"/>
      </w:pPr>
      <w:r>
        <w:t>Velayet kendisine verilmeyen anne/baba ……… ile müşterek çocuk/çocuklar arasında aşağıdaki şekilde kişisel ilişki kurulacaktır:</w:t>
      </w:r>
    </w:p>
    <w:p>
      <w:pPr>
        <w:spacing w:after="80"/>
        <w:jc w:val="both"/>
      </w:pPr>
      <w:r>
        <w:t>a) Her ayın 1. ve 3. hafta sonu Cumartesi saat 10.00'dan Pazar saat 18.00'e kadar;</w:t>
      </w:r>
    </w:p>
    <w:p>
      <w:pPr>
        <w:spacing w:after="80"/>
        <w:jc w:val="both"/>
      </w:pPr>
      <w:r>
        <w:t>b) Dinî bayramların ikinci günü saat 10.00'dan üçüncü günü saat 18.00'e kadar;</w:t>
      </w:r>
    </w:p>
    <w:p>
      <w:pPr>
        <w:spacing w:after="80"/>
        <w:jc w:val="both"/>
      </w:pPr>
      <w:r>
        <w:t>c) Yarıyıl (sömestr) tatilinin ilk haftası, Pazartesi saat 10.00'dan Pazar saat 18.00'e kadar;</w:t>
      </w:r>
    </w:p>
    <w:p>
      <w:pPr>
        <w:spacing w:after="80"/>
        <w:jc w:val="both"/>
      </w:pPr>
      <w:r>
        <w:t>d) Yaz tatilinde her yıl 1 Temmuz saat 10.00'dan 31 Temmuz saat 18.00'e kadar;</w:t>
      </w:r>
    </w:p>
    <w:p>
      <w:pPr>
        <w:spacing w:after="80"/>
        <w:jc w:val="both"/>
      </w:pPr>
      <w:r>
        <w:t>e) Anneler/Babalar Günü'nde saat 10.00–18.00 arası ve çocuğun doğum gününde saat 14.00–18.00 arası;</w:t>
      </w:r>
    </w:p>
    <w:p>
      <w:pPr>
        <w:spacing w:after="80"/>
        <w:jc w:val="both"/>
      </w:pPr>
      <w:r>
        <w:t>f) Her hafta Salı ve Perşembe günleri saat 19.00–20.00 arasında telefonla veya görüntülü görüşme; bunun dışında tarafların anlaşmasıyla.</w:t>
      </w:r>
    </w:p>
    <w:p>
      <w:pPr>
        <w:spacing w:after="80"/>
        <w:jc w:val="both"/>
      </w:pPr>
      <w:r>
        <w:t>Çocuk, kişisel ilişki günlerinde velayet sahibinin ikametinden alınacak ve aynı adrese teslim edilecektir. Taraflar, kişisel ilişkinin çocuğun yararına uygun biçimde ve karşılıklı iyi niyetle yürütüleceğini, çocuğu diğer tarafa karşı olumsuz etkileyecek söz ve davranışlardan kaçınacaklarını taahhüt ederler.</w:t>
      </w:r>
    </w:p>
    <w:p>
      <w:pPr>
        <w:spacing w:before="160" w:after="40"/>
      </w:pPr>
      <w:r>
        <w:rPr>
          <w:b/>
        </w:rPr>
        <w:t>MADDE 5 – İŞTİRAK NAFAKASI</w:t>
      </w:r>
    </w:p>
    <w:p>
      <w:pPr>
        <w:spacing w:after="80"/>
        <w:jc w:val="both"/>
      </w:pPr>
      <w:r>
        <w:t>………, müşterek çocuk/çocukların bakım, eğitim, sağlık ve yetiştirme giderlerine katkı olarak her bir çocuk için aylık ……… TL (yazıyla ……… Türk Lirası) iştirak nafakasını, boşanma kararının kesinleşmesinden itibaren her ayın en geç 5. gününe kadar velayet sahibi tarafın ……… Bankası TR…… IBAN numaralı hesabına yatıracaktır. Karar kesinleşinceye kadar aynı tutar tedbir nafakası olarak ödenecektir.</w:t>
      </w:r>
    </w:p>
    <w:p>
      <w:pPr>
        <w:spacing w:after="80"/>
        <w:jc w:val="both"/>
      </w:pPr>
      <w:r>
        <w:t>İştirak nafakası her yıl Ocak ayında, TÜİK tarafından açıklanan bir önceki yılın on iki aylık ortalamalara göre ÜFE değişim oranında kendiliğinden artırılır. Nafaka, çocuğun eğitim, sağlık, giyim, barınma, ulaşım ve sosyal ihtiyaçları dâhil tüm giderlerini kapsar.</w:t>
      </w:r>
    </w:p>
    <w:p>
      <w:pPr>
        <w:spacing w:after="80"/>
        <w:jc w:val="both"/>
      </w:pPr>
      <w:r>
        <w:t>[Seçimlik] Taraflar, yukarıdaki iştirak nafakası tutarını çocuğun özel okul ücreti, servis, kıyafet ve sağlık sigortası giderleri de dâhil bütün eğitim ve bakım giderlerini dikkate alarak belirlemişlerdir; bu giderler için ayrıca ödeme yükümlülüğü yoktur.</w:t>
      </w:r>
    </w:p>
    <w:p>
      <w:pPr>
        <w:spacing w:before="160" w:after="40"/>
      </w:pPr>
      <w:r>
        <w:rPr>
          <w:b/>
        </w:rPr>
        <w:t>MADDE 6 – YOKSULLUK NAFAKASI</w:t>
      </w:r>
    </w:p>
    <w:p>
      <w:pPr>
        <w:spacing w:after="80"/>
        <w:jc w:val="both"/>
      </w:pPr>
      <w:r>
        <w:t>Taraflar birbirlerinden yoksulluk nafakası talep etmediklerini, TMK m. 175 kapsamındaki bu haklarından karşılıklı olarak ve kesin biçimde feragat ettiklerini kabul ve beyan ederler.</w:t>
      </w:r>
    </w:p>
    <w:p>
      <w:pPr>
        <w:spacing w:before="160" w:after="40"/>
      </w:pPr>
      <w:r>
        <w:rPr>
          <w:b/>
        </w:rPr>
        <w:t>MADDE 7 – MADDÎ VE MANEVÎ TAZMİNAT</w:t>
      </w:r>
    </w:p>
    <w:p>
      <w:pPr>
        <w:spacing w:after="80"/>
        <w:jc w:val="both"/>
      </w:pPr>
      <w:r>
        <w:t>Taraflar, boşanma nedeniyle birbirlerinden maddî ve manevî tazminat talep etmediklerini, TMK m. 174 kapsamındaki haklarından karşılıklı olarak feragat ettiklerini beyan ederler.</w:t>
      </w:r>
    </w:p>
    <w:p>
      <w:pPr>
        <w:spacing w:before="160" w:after="40"/>
      </w:pPr>
      <w:r>
        <w:rPr>
          <w:b/>
        </w:rPr>
        <w:t>MADDE 8 – ZİYNET VE ÇEYİZ EŞYALARI</w:t>
      </w:r>
    </w:p>
    <w:p>
      <w:pPr>
        <w:spacing w:after="80"/>
        <w:jc w:val="both"/>
      </w:pPr>
      <w:r>
        <w:t>Düğünde takılan tüm ziynet eşyaları (……… adet bilezik, ……… adet çeyrek/yarım/tam altın, ……… gram altın, ……… TL nakit vb.) hâlen ………'da bulunmakta olup ………'a aittir. Taraflar birbirlerinden ziynet ve çeyiz eşyası talebi olmadığını / ………'ın ziynetlerin tamamını …/…/…… tarihine kadar diğer tarafa teslim edeceğini kabul ederler.</w:t>
      </w:r>
    </w:p>
    <w:p>
      <w:pPr>
        <w:spacing w:before="160" w:after="40"/>
      </w:pPr>
      <w:r>
        <w:rPr>
          <w:b/>
        </w:rPr>
        <w:t>MADDE 9 – EV EŞYALARI</w:t>
      </w:r>
    </w:p>
    <w:p>
      <w:pPr>
        <w:spacing w:after="80"/>
        <w:jc w:val="both"/>
      </w:pPr>
      <w:r>
        <w:t>Ortak konuttaki ev eşyaları taraflar arasında paylaşılmış olup ekli listede yazılı eşyalar (………) ………'a, diğer tüm eşyalar ………'a aittir. Taraflar ev eşyalarına ilişkin birbirlerinden başkaca hiçbir talepte bulunmayacaklardır.</w:t>
      </w:r>
    </w:p>
    <w:p>
      <w:pPr>
        <w:spacing w:before="160" w:after="40"/>
      </w:pPr>
      <w:r>
        <w:rPr>
          <w:b/>
        </w:rPr>
        <w:t>MADDE 10 – MAL REJİMİNİN TASFİYESİ</w:t>
      </w:r>
    </w:p>
    <w:p>
      <w:pPr>
        <w:spacing w:after="80"/>
        <w:jc w:val="both"/>
      </w:pPr>
      <w:r>
        <w:t>Taraflar, evlilik birliği içinde edinilen mallar bakımından yukarıdaki maddelerde yazılı paylaşım dışında, edinilmiş mallara katılma rejiminden doğan katılma alacağı, katkı payı alacağı ve değer artış payı alacağı dâhil TMK m. 225 ve devamı maddelerinden kaynaklanan tüm alacak haklarından karşılıklı, kayıtsız ve şartsız olarak feragat ettiklerini; birbirlerine karşı mal rejiminin tasfiyesine ilişkin herhangi bir dava ve talep hakları bulunmadığını kabul ve beyan ederler.</w:t>
      </w:r>
    </w:p>
    <w:p>
      <w:pPr>
        <w:spacing w:before="160" w:after="40"/>
      </w:pPr>
      <w:r>
        <w:rPr>
          <w:b/>
        </w:rPr>
        <w:t>MADDE 11 – AİLE KONUTU</w:t>
      </w:r>
    </w:p>
    <w:p>
      <w:pPr>
        <w:spacing w:after="80"/>
        <w:jc w:val="both"/>
      </w:pPr>
      <w:r>
        <w:t>……… adresindeki aile konutunda ………, …/…/…… tarihine kadar oturmaya devam edecek; bu tarihte konutu tahliye ederek anahtarlarını teslim edecektir. Bu tarihe kadar kira, aidat ve faturalar ……… tarafından ödenecektir. Kira sözleşmesi …/…/…… tarihinden itibaren ……… adına devam edecektir. Tapuda mevcut aile konutu şerhi kararın kesinleşmesiyle terkin edilecektir.</w:t>
      </w:r>
    </w:p>
    <w:p>
      <w:pPr>
        <w:spacing w:after="80"/>
        <w:jc w:val="both"/>
      </w:pPr>
      <w:r>
        <w:t>[Seçimlik] Taşınmaz ……… adına kayıtlı kalmakla birlikte ……… lehine …/…/…… tarihine kadar oturma hakkı tanınmasına, bu hakkın tapuya şerhine ve hükümde açıkça gösterilmesine karar verilmesini taraflar birlikte talep ederler.</w:t>
      </w:r>
    </w:p>
    <w:p>
      <w:pPr>
        <w:spacing w:before="160" w:after="40"/>
      </w:pPr>
      <w:r>
        <w:rPr>
          <w:b/>
        </w:rPr>
        <w:t>MADDE 12 – SOYADI</w:t>
      </w:r>
    </w:p>
    <w:p>
      <w:pPr>
        <w:spacing w:after="80"/>
        <w:jc w:val="both"/>
      </w:pPr>
      <w:r>
        <w:t>Kadın eş, boşanma kararının kesinleşmesiyle evlenmeden önceki soyadı olan "………" soyadını kullanacaktır. [Seçimlik: Kadın eş, TMK m. 173/2 uyarınca evlilik soyadını kullanmaya devam etmek istemekte olup erkek eş buna muvafakat eder; mahkemeden bu yönde karar verilmesi talep edilir.]</w:t>
      </w:r>
    </w:p>
    <w:p>
      <w:pPr>
        <w:spacing w:before="160" w:after="40"/>
      </w:pPr>
      <w:r>
        <w:rPr>
          <w:b/>
        </w:rPr>
        <w:t>MADDE 13 – YARGILAMA GİDERLERİ VE VEKÂLET ÜCRETİ</w:t>
      </w:r>
    </w:p>
    <w:p>
      <w:pPr>
        <w:spacing w:after="80"/>
        <w:jc w:val="both"/>
      </w:pPr>
      <w:r>
        <w:t>Taraflar, yaptıkları yargılama giderlerini kendi üzerlerinde bırakmayı, birbirlerinden yargılama gideri ve vekâlet ücreti talep etmemeyi kabul ederler.</w:t>
      </w:r>
    </w:p>
    <w:p>
      <w:pPr>
        <w:spacing w:before="160" w:after="40"/>
      </w:pPr>
      <w:r>
        <w:rPr>
          <w:b/>
        </w:rPr>
        <w:t>MADDE 14 – SON HÜKÜMLER</w:t>
      </w:r>
    </w:p>
    <w:p>
      <w:pPr>
        <w:spacing w:after="80"/>
        <w:jc w:val="both"/>
      </w:pPr>
      <w:r>
        <w:t>İşbu protokol taraflarca serbest iradeleriyle okunup anlaşılarak …/…/…… tarihinde iki nüsha olarak imzalanmıştır. Protokol, mahkemece onaylanmakla boşanma kararının eki ve ayrılmaz parçası sayılacaktır. Taraflar, protokolde düzenlenmeyen hususlarda birbirlerinden başkaca hak ve alacak talebinde bulunmayacaklarını kabul ederler.</w:t>
      </w:r>
    </w:p>
    <w:p/>
    <w:tbl>
      <w:tblPr>
        <w:tblW w:type="auto" w:w="0"/>
        <w:tblLook w:firstColumn="1" w:firstRow="1" w:lastColumn="0" w:lastRow="0" w:noHBand="0" w:noVBand="1" w:val="04A0"/>
      </w:tblPr>
      <w:tblGrid>
        <w:gridCol w:w="4703"/>
        <w:gridCol w:w="4703"/>
      </w:tblGrid>
      <w:tr>
        <w:tc>
          <w:tcPr>
            <w:tcW w:type="dxa" w:w="4703"/>
          </w:tcPr>
          <w:p>
            <w:pPr>
              <w:jc w:val="center"/>
            </w:pPr>
            <w:r>
              <w:rPr>
                <w:b/>
              </w:rPr>
              <w:t>DAVACI</w:t>
            </w:r>
          </w:p>
        </w:tc>
        <w:tc>
          <w:tcPr>
            <w:tcW w:type="dxa" w:w="4703"/>
          </w:tcPr>
          <w:p>
            <w:pPr>
              <w:jc w:val="center"/>
            </w:pPr>
            <w:r>
              <w:rPr>
                <w:b/>
              </w:rPr>
              <w:t>DAVALI</w:t>
            </w:r>
          </w:p>
        </w:tc>
      </w:tr>
      <w:tr>
        <w:tc>
          <w:tcPr>
            <w:tcW w:type="dxa" w:w="4703"/>
          </w:tcPr>
          <w:p>
            <w:pPr>
              <w:jc w:val="center"/>
            </w:pPr>
            <w:r>
              <w:rPr>
                <w:b/>
              </w:rPr>
              <w:t>Adı Soyadı: ………</w:t>
              <w:br/>
              <w:t>İmza:</w:t>
            </w:r>
          </w:p>
        </w:tc>
        <w:tc>
          <w:tcPr>
            <w:tcW w:type="dxa" w:w="4703"/>
          </w:tcPr>
          <w:p>
            <w:pPr>
              <w:jc w:val="center"/>
            </w:pPr>
            <w:r>
              <w:rPr>
                <w:b/>
              </w:rPr>
              <w:t>Adı Soyadı: ………</w:t>
              <w:br/>
              <w:t>İmza:</w:t>
            </w:r>
          </w:p>
        </w:tc>
      </w:tr>
    </w:tbl>
    <w:p/>
    <w:p>
      <w:r>
        <w:rPr>
          <w:i/>
          <w:sz w:val="17"/>
        </w:rPr>
        <w:t>Bu şablon Av. Aydın Aydar (avukataydinaydar.com) tarafından genel bilgilendirme amacıyla hazırlanmıştır; her boşanma dosyası farklıdır. Noktalı alanları kendi bilgilerinizle doldurun, [Seçimlik] ifadeleri durumunuza göre koruyun veya silin, kullanmadığınız maddeleri çıkarın ve protokolü mahkemeye vermeden önce bir boşanma avukatına kontrol ettirin. Her sayfanın altını her iki eş paraflamalıdır.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