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NÖBETÇİ AİLE MAHKEMESİNE</w:t>
      </w:r>
    </w:p>
    <w:p>
      <w:pPr>
        <w:spacing w:after="120"/>
        <w:jc w:val="both"/>
      </w:pPr>
      <w:r>
        <w:rPr>
          <w:b/>
        </w:rPr>
        <w:t xml:space="preserve">DAVACI: </w:t>
      </w:r>
      <w:r>
        <w:t>……… (T.C. Kimlik No: ………) Adres: ………</w:t>
      </w:r>
    </w:p>
    <w:p>
      <w:pPr>
        <w:spacing w:after="120"/>
        <w:jc w:val="both"/>
      </w:pPr>
      <w:r>
        <w:rPr>
          <w:b/>
        </w:rPr>
        <w:t xml:space="preserve">DAVALI: </w:t>
      </w:r>
      <w:r>
        <w:t>……… (T.C. Kimlik No: ………) Adres: ………</w:t>
      </w:r>
    </w:p>
    <w:p>
      <w:pPr>
        <w:spacing w:after="120"/>
        <w:jc w:val="both"/>
      </w:pPr>
      <w:r>
        <w:rPr>
          <w:b/>
        </w:rPr>
        <w:t xml:space="preserve">KONU: </w:t>
      </w:r>
      <w:r>
        <w:t>Evlilik birliğinin temelinden sarsılması (TMK m. 166/1) nedeniyle boşanma, velayet, tedbir-iştirak-yoksulluk nafakası, maddî ve manevî tazminat ile ihtiyati tedbir taleplerimizdir.</w:t>
      </w:r>
    </w:p>
    <w:p>
      <w:pPr>
        <w:spacing w:before="160"/>
      </w:pPr>
      <w:r>
        <w:rPr>
          <w:b/>
        </w:rPr>
        <w:t>AÇIKLAMALAR:</w:t>
      </w:r>
    </w:p>
    <w:p>
      <w:pPr>
        <w:spacing w:after="100"/>
        <w:jc w:val="both"/>
      </w:pPr>
      <w:r>
        <w:t>1. Taraflar …/…/…… tarihinde evlenmiş olup bu evlilikten …/…/…… doğumlu ……… adlı müşterek çocukları bulunmaktadır (Ek-1 nüfus kayıt örneği).</w:t>
      </w:r>
    </w:p>
    <w:p>
      <w:pPr>
        <w:spacing w:after="100"/>
        <w:jc w:val="both"/>
      </w:pPr>
      <w:r>
        <w:t>2. Evliliğin ilk yıllarından itibaren davalı, evlilik birliğinin gerektirdiği sorumlulukları yerine getirmemiş; ev giderlerine katkıda bulunmamış, davacının ve çocuğun temel ihtiyaçlarını karşılamayı reddetmiştir. Davacı, ihtiyaçlarını ailesinin desteğiyle karşılamak zorunda kalmıştır.</w:t>
      </w:r>
    </w:p>
    <w:p>
      <w:pPr>
        <w:spacing w:after="100"/>
        <w:jc w:val="both"/>
      </w:pPr>
      <w:r>
        <w:t>3. Davalı, …/…/…… tarihinde tarafların ortak arkadaşlarının önünde davacıya "………" şeklinde hakaret etmiş, davacıyı aşağılamış; benzer hakaret ve aşağılamalar evlilik boyunca süreklilik arz etmiştir. Bu olaylara tanık olan kişiler tanık listemizde bildirilecektir.</w:t>
      </w:r>
    </w:p>
    <w:p>
      <w:pPr>
        <w:spacing w:after="100"/>
        <w:jc w:val="both"/>
      </w:pPr>
      <w:r>
        <w:t>4. Davalı, …/…/…… tarihinde yaşanan tartışmada davacıyı müşterek konuttan kovmuş, davacı çocuğuyla birlikte ailesinin yanına sığınmak zorunda kalmıştır. Taraflar bu tarihten beri ayrı yaşamaktadır; davalı, ayrılık süresince davacı ve çocuğun geçimine hiçbir katkıda bulunmamıştır.</w:t>
      </w:r>
    </w:p>
    <w:p>
      <w:pPr>
        <w:spacing w:after="100"/>
        <w:jc w:val="both"/>
      </w:pPr>
      <w:r>
        <w:t>5. Davalının ailesi evliliğe sürekli müdahale etmiş, davalı bu müdahalelere sessiz kalarak eşine karşı sorumluluklarını ihlal etmiştir. Davalının kusurlu davranışları nedeniyle evlilik birliği temelinden sarsılmış; ortak hayatın sürdürülmesi davacıdan beklenemez hâle gelmiştir. Boşanmaya sebep olan olaylarda davalı tam kusurludur.</w:t>
      </w:r>
    </w:p>
    <w:p>
      <w:pPr>
        <w:spacing w:after="100"/>
        <w:jc w:val="both"/>
      </w:pPr>
      <w:r>
        <w:t>6. Taraflar …/…/…… tarihinden beri fiilen ayrı yaşamakta olup müşterek çocuk bu tarihten itibaren davacının yanında kalmakta, bakım ve eğitimi davacı tarafından karşılanmaktadır. Çocuğun yaşı, alışkanlıkları ve davacıya olan bağlılığı gözetildiğinde velayetin davacıya verilmesi çocuğun üstün yararınadır.</w:t>
      </w:r>
    </w:p>
    <w:p>
      <w:pPr>
        <w:spacing w:after="100"/>
        <w:jc w:val="both"/>
      </w:pPr>
      <w:r>
        <w:t>7. Davacı ……… olarak çalışmakta / herhangi bir işte çalışmamakta olup aylık geliri ……… TL'dir; davalı ise ……… olarak çalışmakta ve aylık yaklaşık ……… TL gelir elde etmektedir. Davacı boşanma ile yoksulluğa düşecek olup dava süresince ve sonrasında nafakaya ihtiyacı vardır.</w:t>
      </w:r>
    </w:p>
    <w:p>
      <w:pPr>
        <w:spacing w:after="100"/>
        <w:jc w:val="both"/>
      </w:pPr>
      <w:r>
        <w:t>8. Davacı, davalının hakaret ve aşağılamaları nedeniyle kişilik haklarına saldırıya uğramış; boşanma ile evliliğin sağladığı maddî destekten yoksun kalacaktır. Bu nedenle TMK m. 174 uyarınca maddî ve manevî tazminat talep zorunluluğu doğmuştur.</w:t>
      </w:r>
    </w:p>
    <w:p>
      <w:pPr>
        <w:spacing w:after="100"/>
        <w:jc w:val="both"/>
      </w:pPr>
      <w:r>
        <w:t>9. Dava süresince davacı ve müşterek çocuğun geçimini sağlayabilmesi için TMK m. 169 uyarınca tedbir nafakasına, aile konutunun davacıya tahsisine ve davalının malvarlığını kaçırmasını önlemek amacıyla tapu ve araç kayıtlarına ihtiyati tedbir konulmasına karar verilmesini talep ediyoruz.</w:t>
      </w:r>
    </w:p>
    <w:p>
      <w:pPr>
        <w:spacing w:after="120"/>
        <w:jc w:val="both"/>
      </w:pPr>
      <w:r>
        <w:rPr>
          <w:b/>
        </w:rPr>
        <w:t xml:space="preserve">HUKUKİ NEDENLER: </w:t>
      </w:r>
      <w:r>
        <w:t>4721 sayılı TMK m. 166/1, 169, 174, 175, 182, 185, 186; 6100 sayılı HMK m. 119, 389 vd. ve ilgili mevzuat.</w:t>
      </w:r>
    </w:p>
    <w:p>
      <w:pPr>
        <w:spacing w:after="120"/>
        <w:jc w:val="both"/>
      </w:pPr>
      <w:r>
        <w:rPr>
          <w:b/>
        </w:rPr>
        <w:t xml:space="preserve">DELİLLER: </w:t>
      </w:r>
      <w:r>
        <w:t>Nüfus kayıt örneği; tanık beyanları (tanık listesi ön inceleme aşamasına kadar sunulacaktır); WhatsApp ve SMS yazışmaları; fotoğraf ve video kayıtları; banka hesap dökümleri; SGK ve gelir kayıtları; sosyal ve ekonomik durum araştırması; uzman (pedagog) raporu; bilirkişi incelemesi ve her türlü yasal delil.</w:t>
      </w:r>
    </w:p>
    <w:p>
      <w:pPr>
        <w:spacing w:before="160"/>
      </w:pPr>
      <w:r>
        <w:rPr>
          <w:b/>
        </w:rPr>
        <w:t>SONUÇ VE İSTEM:</w:t>
      </w:r>
    </w:p>
    <w:p>
      <w:pPr>
        <w:spacing w:after="100"/>
        <w:jc w:val="both"/>
      </w:pPr>
      <w:r>
        <w:t>Yukarıda açıklanan ve Sayın Mahkemece re'sen gözetilecek nedenlerle;</w:t>
      </w:r>
    </w:p>
    <w:p>
      <w:pPr>
        <w:spacing w:after="100"/>
        <w:jc w:val="both"/>
      </w:pPr>
      <w:r>
        <w:t>1) Davanın kabulü ile tarafların TMK m. 166/1 uyarınca BOŞANMALARINA,</w:t>
      </w:r>
    </w:p>
    <w:p>
      <w:pPr>
        <w:spacing w:after="100"/>
        <w:jc w:val="both"/>
      </w:pPr>
      <w:r>
        <w:t>2) Müşterek çocuğun velayetinin davacıya verilmesine, davalı ile çocuk arasında çocuğun yaşına uygun biçimde kişisel ilişki kurulmasına,</w:t>
      </w:r>
    </w:p>
    <w:p>
      <w:pPr>
        <w:spacing w:after="100"/>
        <w:jc w:val="both"/>
      </w:pPr>
      <w:r>
        <w:t>3) Müşterek çocuk için dava tarihinden itibaren aylık ……… TL tedbir nafakasına, kararın kesinleşmesiyle birlikte iştirak nafakası olarak devamına ve her yıl ÜFE oranında artırılmasına,</w:t>
      </w:r>
    </w:p>
    <w:p>
      <w:pPr>
        <w:spacing w:after="100"/>
        <w:jc w:val="both"/>
      </w:pPr>
      <w:r>
        <w:t>4) Davacı için dava tarihinden itibaren aylık ……… TL tedbir nafakasına, kararın kesinleşmesiyle birlikte yoksulluk nafakası olarak devamına ve her yıl ÜFE oranında artırılmasına,</w:t>
      </w:r>
    </w:p>
    <w:p>
      <w:pPr>
        <w:spacing w:after="100"/>
        <w:jc w:val="both"/>
      </w:pPr>
      <w:r>
        <w:t>5) Davacı lehine TMK m. 174/1 uyarınca ……… TL maddî ve TMK m. 174/2 uyarınca ……… TL manevî tazminatın karar tarihinden itibaren yasal faiziyle birlikte davalıdan tahsiline,</w:t>
      </w:r>
    </w:p>
    <w:p>
      <w:pPr>
        <w:spacing w:after="100"/>
        <w:jc w:val="both"/>
      </w:pPr>
      <w:r>
        <w:t>6) Dava süresince aile konutunun davacıya tahsisine ve davalının tapu ile araç kayıtlarına ihtiyati tedbir konulmasına,</w:t>
      </w:r>
    </w:p>
    <w:p>
      <w:pPr>
        <w:spacing w:after="100"/>
        <w:jc w:val="both"/>
      </w:pPr>
      <w:r>
        <w:t>7) Yargılama giderleri ve vekâlet ücretinin davalıya yükletilmesine karar verilmesini saygılarımızla arz ve talep ederiz.</w:t>
      </w:r>
    </w:p>
    <w:p>
      <w:pPr>
        <w:spacing w:after="100"/>
        <w:jc w:val="both"/>
      </w:pPr>
      <w:r>
        <w:t>…/…/……</w:t>
      </w:r>
    </w:p>
    <w:p>
      <w:pPr>
        <w:spacing w:after="120"/>
        <w:jc w:val="both"/>
      </w:pPr>
      <w:r>
        <w:rPr>
          <w:b/>
        </w:rPr>
        <w:t xml:space="preserve">EKLER: </w:t>
      </w:r>
      <w:r>
        <w:t>1- Nüfus kayıt örneği; 2- Mesaj ve fotoğraf kayıtları; 3- Banka ve gelir belgeleri; 4- [Varsa] Vekâletname</w:t>
      </w:r>
    </w:p>
    <w:p/>
    <w:tbl>
      <w:tblPr>
        <w:tblW w:type="auto" w:w="0"/>
        <w:tblLook w:firstColumn="1" w:firstRow="1" w:lastColumn="0" w:lastRow="0" w:noHBand="0" w:noVBand="1" w:val="04A0"/>
      </w:tblPr>
      <w:tblGrid>
        <w:gridCol w:w="9406"/>
      </w:tblGrid>
      <w:tr>
        <w:tc>
          <w:tcPr>
            <w:tcW w:type="dxa" w:w="9406"/>
          </w:tcPr>
          <w:p>
            <w:pPr>
              <w:jc w:val="center"/>
            </w:pPr>
            <w:r>
              <w:rPr>
                <w:b/>
              </w:rPr>
              <w:t>DAVACI</w:t>
              <w:br/>
              <w:t>Adı Soyadı – İmza</w:t>
            </w:r>
          </w:p>
        </w:tc>
      </w:tr>
    </w:tbl>
    <w:p/>
    <w:p>
      <w:r>
        <w:rPr>
          <w:i/>
          <w:sz w:val="17"/>
        </w:rPr>
        <w:t>Bu dilekçe örneği Av. Aydın Aydar (avukataydinaydar.com) tarafından genel bilgilendirme amacıyla hazırlanmıştır. Çekişmeli boşanma dilekçesinin açıklamalar bölümü her dosyada farklıdır; örnekteki olayları kendi yaşadıklarınızla, tarih ve delillerini belirterek değiştirin, dayanmadığınız olayları silin. Dilekçede anlatılmayan olaylar kusur belirlemesinde dikkate alınmaz; bu nedenle dilekçeyi mahkemeye vermeden önce bir boşanma avukatına kontrol ettirmeniz önemle tavsiye edilir.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